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5438B" w:rsidRDefault="000426BB">
      <w:pPr>
        <w:spacing w:after="0" w:line="240" w:lineRule="auto"/>
        <w:jc w:val="center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 xml:space="preserve">ЗАКЛЮЧЕНИЕ </w:t>
      </w:r>
    </w:p>
    <w:p w14:paraId="02000000" w14:textId="77777777" w:rsidR="00B5438B" w:rsidRDefault="000426BB">
      <w:pPr>
        <w:spacing w:after="0" w:line="240" w:lineRule="auto"/>
        <w:jc w:val="center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 xml:space="preserve">об оценке регулирующего воздействия </w:t>
      </w:r>
    </w:p>
    <w:p w14:paraId="03000000" w14:textId="77777777" w:rsidR="00B5438B" w:rsidRDefault="00B5438B">
      <w:pPr>
        <w:spacing w:after="0" w:line="240" w:lineRule="auto"/>
        <w:jc w:val="center"/>
        <w:rPr>
          <w:rFonts w:ascii="PT Astra Sans" w:hAnsi="PT Astra Sans"/>
          <w:b/>
          <w:sz w:val="24"/>
        </w:rPr>
      </w:pPr>
    </w:p>
    <w:p w14:paraId="04000000" w14:textId="30741403" w:rsidR="00B5438B" w:rsidRDefault="000426BB">
      <w:pPr>
        <w:tabs>
          <w:tab w:val="left" w:pos="9355"/>
        </w:tabs>
        <w:spacing w:after="0" w:line="240" w:lineRule="auto"/>
        <w:ind w:right="-1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            </w:t>
      </w:r>
      <w:proofErr w:type="gramStart"/>
      <w:r>
        <w:rPr>
          <w:rFonts w:ascii="PT Astra Sans" w:hAnsi="PT Astra Sans"/>
          <w:sz w:val="24"/>
        </w:rPr>
        <w:t>По проекту постановления Администрации Куртамышского района «</w:t>
      </w:r>
      <w:r w:rsidRPr="000426BB">
        <w:rPr>
          <w:rFonts w:ascii="PT Astra Sans" w:hAnsi="PT Astra Sans"/>
          <w:sz w:val="24"/>
        </w:rPr>
        <w:t>Об утверждении правил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Куртамышского района Курганской области</w:t>
      </w:r>
      <w:r>
        <w:rPr>
          <w:rFonts w:ascii="PT Astra Sans" w:hAnsi="PT Astra Sans"/>
          <w:sz w:val="24"/>
        </w:rPr>
        <w:t>», разработанному и направленному для подготовки настоящего заключения отделом экономики, сельского хозяйства, управления муниципальным имуществом и земельных отношений Администрации Куртамышского района.</w:t>
      </w:r>
      <w:proofErr w:type="gramEnd"/>
    </w:p>
    <w:p w14:paraId="05000000" w14:textId="77777777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Проект акта направлен разработчиком для подготовки настоящего заключения впервые. </w:t>
      </w:r>
    </w:p>
    <w:p w14:paraId="06000000" w14:textId="114636DF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целях проведения процедуры оценки регулирующего воздействия (далее - ОРВ) проекта, разработчиком подготовлен и направлен для размещения на официальном сайте Администрации Куртамышского района сводный отчет.</w:t>
      </w:r>
    </w:p>
    <w:p w14:paraId="07000000" w14:textId="1638A3C2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 Уполномоченным органом проведены публичные обсуждения проекта акта и сводного отчета в сроки с  14.02.2021 г. по 28.02.2021 г.</w:t>
      </w:r>
    </w:p>
    <w:p w14:paraId="08000000" w14:textId="0DA55CB2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</w:p>
    <w:p w14:paraId="23C0BB4C" w14:textId="29CB1AD6" w:rsidR="000374D6" w:rsidRDefault="00693B8A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hyperlink r:id="rId5" w:history="1">
        <w:r w:rsidR="005A62E5" w:rsidRPr="00DE7D67">
          <w:rPr>
            <w:rStyle w:val="a4"/>
            <w:rFonts w:ascii="PT Astra Sans" w:hAnsi="PT Astra Sans"/>
            <w:sz w:val="24"/>
          </w:rPr>
          <w:t>http://www.region-kurtamysh.com/city/ekonomika/ekonomika/biznes/otsenka-reguliruyushchego-vozdeystviya-proektov-npa/</w:t>
        </w:r>
      </w:hyperlink>
      <w:r w:rsidR="005A62E5">
        <w:rPr>
          <w:rFonts w:ascii="PT Astra Sans" w:hAnsi="PT Astra Sans"/>
          <w:sz w:val="24"/>
        </w:rPr>
        <w:t xml:space="preserve"> </w:t>
      </w:r>
    </w:p>
    <w:p w14:paraId="09000000" w14:textId="36DE243D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proofErr w:type="gramStart"/>
      <w:r>
        <w:rPr>
          <w:rFonts w:ascii="PT Astra Sans" w:hAnsi="PT Astra Sans"/>
          <w:sz w:val="24"/>
        </w:rPr>
        <w:t xml:space="preserve">По результатам рассмотрения установлено, что при подготовке проекта муниципального нормативного правового акта порядок и сроки проведения процедур ОРВ, установленные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утвержденные решением </w:t>
      </w:r>
      <w:proofErr w:type="spellStart"/>
      <w:r>
        <w:rPr>
          <w:rFonts w:ascii="PT Astra Sans" w:hAnsi="PT Astra Sans"/>
          <w:sz w:val="24"/>
        </w:rPr>
        <w:t>Куртамышской</w:t>
      </w:r>
      <w:proofErr w:type="spellEnd"/>
      <w:r>
        <w:rPr>
          <w:rFonts w:ascii="PT Astra Sans" w:hAnsi="PT Astra Sans"/>
          <w:sz w:val="24"/>
        </w:rPr>
        <w:t xml:space="preserve"> районной Думы </w:t>
      </w:r>
      <w:r w:rsidRPr="000426BB">
        <w:rPr>
          <w:rFonts w:ascii="PT Astra Sans" w:hAnsi="PT Astra Sans"/>
          <w:sz w:val="24"/>
        </w:rPr>
        <w:t>от 22.06.2017 г. № 42 «Об утверждении положений о порядках проведения оценки регулирующего воздействия проектов муниципальных нормативных правовых актов Куртамышского района</w:t>
      </w:r>
      <w:proofErr w:type="gramEnd"/>
      <w:r w:rsidRPr="000426BB">
        <w:rPr>
          <w:rFonts w:ascii="PT Astra Sans" w:hAnsi="PT Astra Sans"/>
          <w:sz w:val="24"/>
        </w:rPr>
        <w:t xml:space="preserve">, </w:t>
      </w:r>
      <w:proofErr w:type="gramStart"/>
      <w:r w:rsidRPr="000426BB">
        <w:rPr>
          <w:rFonts w:ascii="PT Astra Sans" w:hAnsi="PT Astra Sans"/>
          <w:sz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действующих муниципальных нормативных правовых актов Куртамышского района, затрагивающих вопросы осуществления предпринимательской и инвестиционной деятельности</w:t>
      </w:r>
      <w:r>
        <w:rPr>
          <w:rFonts w:ascii="PT Astra Sans" w:hAnsi="PT Astra Sans"/>
          <w:sz w:val="24"/>
        </w:rPr>
        <w:t>», соблюдены разработчиком в полном объеме.</w:t>
      </w:r>
      <w:proofErr w:type="gramEnd"/>
    </w:p>
    <w:p w14:paraId="0A000000" w14:textId="77777777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 рамках данных консультаций, замечаний от заинтересованных лиц и организаций не поступало. Таким образом,  можно сделать вывод, что предлагаемый порядок отвечает их интересам в полном объеме. </w:t>
      </w:r>
    </w:p>
    <w:p w14:paraId="0B000000" w14:textId="77777777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На основе проведенной оценки регулирующего воздействия проекта  с учетом информации, представленной разработчиком в сводном отчете, можно сделать следующие выводы: </w:t>
      </w:r>
    </w:p>
    <w:p w14:paraId="0C000000" w14:textId="77777777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</w:t>
      </w:r>
    </w:p>
    <w:p w14:paraId="0D000000" w14:textId="77777777" w:rsidR="00B5438B" w:rsidRDefault="000426BB">
      <w:pPr>
        <w:spacing w:after="0" w:line="240" w:lineRule="auto"/>
        <w:ind w:firstLine="709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 </w:t>
      </w:r>
      <w:proofErr w:type="gramStart"/>
      <w:r>
        <w:rPr>
          <w:rFonts w:ascii="PT Astra Sans" w:hAnsi="PT Astra Sans"/>
          <w:sz w:val="24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  <w:proofErr w:type="gramEnd"/>
    </w:p>
    <w:p w14:paraId="16555C5E" w14:textId="77777777" w:rsidR="000426BB" w:rsidRDefault="000426BB">
      <w:pPr>
        <w:spacing w:after="0" w:line="240" w:lineRule="auto"/>
        <w:jc w:val="both"/>
        <w:rPr>
          <w:rFonts w:ascii="PT Astra Sans" w:hAnsi="PT Astra Sans"/>
          <w:sz w:val="24"/>
        </w:rPr>
      </w:pPr>
    </w:p>
    <w:p w14:paraId="0F000000" w14:textId="64C3CF8C" w:rsidR="00B5438B" w:rsidRDefault="000426BB">
      <w:pPr>
        <w:spacing w:after="0" w:line="240" w:lineRule="auto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Ведущий специалист отдела экономики,</w:t>
      </w:r>
      <w:bookmarkStart w:id="0" w:name="_GoBack"/>
      <w:bookmarkEnd w:id="0"/>
    </w:p>
    <w:p w14:paraId="6143F345" w14:textId="77777777" w:rsidR="000426BB" w:rsidRDefault="000426BB">
      <w:pPr>
        <w:spacing w:after="0" w:line="240" w:lineRule="auto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сельского хозяйства, управления </w:t>
      </w:r>
      <w:proofErr w:type="gramStart"/>
      <w:r>
        <w:rPr>
          <w:rFonts w:ascii="PT Astra Sans" w:hAnsi="PT Astra Sans"/>
          <w:sz w:val="24"/>
        </w:rPr>
        <w:t>муниципальным</w:t>
      </w:r>
      <w:proofErr w:type="gramEnd"/>
      <w:r>
        <w:rPr>
          <w:rFonts w:ascii="PT Astra Sans" w:hAnsi="PT Astra Sans"/>
          <w:sz w:val="24"/>
        </w:rPr>
        <w:t xml:space="preserve"> </w:t>
      </w:r>
    </w:p>
    <w:p w14:paraId="1FEBB722" w14:textId="64855BB9" w:rsidR="000426BB" w:rsidRDefault="000426BB">
      <w:pPr>
        <w:spacing w:after="0" w:line="240" w:lineRule="auto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имуществом и земельных отношений </w:t>
      </w:r>
    </w:p>
    <w:p w14:paraId="10000000" w14:textId="572BA691" w:rsidR="00B5438B" w:rsidRPr="000426BB" w:rsidRDefault="000426BB" w:rsidP="000426BB">
      <w:pPr>
        <w:tabs>
          <w:tab w:val="left" w:pos="7665"/>
        </w:tabs>
        <w:spacing w:after="0" w:line="240" w:lineRule="auto"/>
        <w:jc w:val="both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Администрации Куртамышского района</w:t>
      </w:r>
      <w:r>
        <w:rPr>
          <w:rFonts w:ascii="PT Astra Sans" w:hAnsi="PT Astra Sans"/>
          <w:sz w:val="24"/>
        </w:rPr>
        <w:tab/>
        <w:t xml:space="preserve">     Д.С. </w:t>
      </w:r>
      <w:proofErr w:type="spellStart"/>
      <w:r>
        <w:rPr>
          <w:rFonts w:ascii="PT Astra Sans" w:hAnsi="PT Astra Sans"/>
          <w:sz w:val="24"/>
        </w:rPr>
        <w:t>Деулина</w:t>
      </w:r>
      <w:proofErr w:type="spellEnd"/>
      <w:r>
        <w:rPr>
          <w:rFonts w:ascii="PT Astra Sans" w:hAnsi="PT Astra Sans"/>
          <w:sz w:val="24"/>
        </w:rPr>
        <w:t xml:space="preserve">                  </w:t>
      </w:r>
    </w:p>
    <w:sectPr w:rsidR="00B5438B" w:rsidRPr="000426BB" w:rsidSect="00693B8A">
      <w:pgSz w:w="11906" w:h="16838"/>
      <w:pgMar w:top="851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B"/>
    <w:rsid w:val="000374D6"/>
    <w:rsid w:val="000426BB"/>
    <w:rsid w:val="005A62E5"/>
    <w:rsid w:val="00693B8A"/>
    <w:rsid w:val="00B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Просмотренная гиперссылка1"/>
    <w:basedOn w:val="12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3"/>
    <w:rPr>
      <w:color w:val="800080" w:themeColor="followed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4"/>
    <w:rPr>
      <w:color w:val="0000FF" w:themeColor="hyperlink"/>
      <w:u w:val="single"/>
    </w:rPr>
  </w:style>
  <w:style w:type="character" w:styleId="a4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Знак Знак2 Знак Знак"/>
    <w:basedOn w:val="a"/>
    <w:link w:val="24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Просмотренная гиперссылка1"/>
    <w:basedOn w:val="12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3"/>
    <w:rPr>
      <w:color w:val="800080" w:themeColor="followed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4"/>
    <w:rPr>
      <w:color w:val="0000FF" w:themeColor="hyperlink"/>
      <w:u w:val="single"/>
    </w:rPr>
  </w:style>
  <w:style w:type="character" w:styleId="a4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Знак Знак2 Знак Знак"/>
    <w:basedOn w:val="a"/>
    <w:link w:val="24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-kurtamysh.com/city/ekonomika/ekonomika/biznes/otsenka-reguliruyushchego-vozdeystviya-proektov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6</cp:revision>
  <cp:lastPrinted>2022-02-16T09:43:00Z</cp:lastPrinted>
  <dcterms:created xsi:type="dcterms:W3CDTF">2022-02-16T02:43:00Z</dcterms:created>
  <dcterms:modified xsi:type="dcterms:W3CDTF">2022-02-16T09:44:00Z</dcterms:modified>
</cp:coreProperties>
</file>