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W w:w="0" w:type="auto"/>
        <w:tblInd w:w="0" w:type="dxa"/>
        <w:tblBorders>
          <w:top w:val="none" w:sz="6" w:space="0" w:shadow="0" w:frame="0" w:color="000000"/>
          <w:left w:val="none" w:sz="6" w:space="0" w:shadow="0" w:frame="0" w:color="000000"/>
          <w:bottom w:val="none" w:sz="6" w:space="0" w:shadow="0" w:frame="0" w:color="000000"/>
          <w:right w:val="none" w:sz="6" w:space="0" w:shadow="0" w:frame="0" w:color="000000"/>
          <w:insideH w:val="none" w:sz="6" w:space="0" w:shadow="0" w:frame="0" w:color="000000"/>
          <w:insideV w:val="none" w:sz="6" w:space="0" w:shadow="0" w:frame="0" w:color="00000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 xml:space="preserve">Утв. приказом Минфина РФ </w:t>
              <w:br w:type="textWrapping"/>
              <w:t xml:space="preserve">от 28 декабря 2010 г. № 191н </w:t>
              <w:br w:type="textWrapping"/>
            </w:r>
            <w:r>
              <w:rPr>
                <w:rFonts w:ascii="Times New Roman" w:hAnsi="Times New Roman" w:cs="Times New Roman" w:eastAsia="Times New Roman"/>
                <w:i w:val="1"/>
                <w:sz w:val="20"/>
                <w:szCs w:val="20"/>
              </w:rPr>
              <w:t>(в ред. от 16 ноября 2016 г.)</w:t>
            </w:r>
          </w:p>
        </w:tc>
      </w:tr>
    </w:tbl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vanish w:val="1"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КОДЫ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0503160</w:t>
            </w:r>
          </w:p>
        </w:tc>
      </w:tr>
      <w:tr>
        <w:trPr>
          <w:trHeight w:hRule="atLeast"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                   на   1 октября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01.10.2024</w:t>
            </w:r>
          </w:p>
        </w:tc>
      </w:tr>
      <w:tr>
        <w:trPr>
          <w:trHeight w:hRule="atLeast"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11.1 Куртамышский Муниципальный округ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 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</w:pPr>
          </w:p>
        </w:tc>
      </w:tr>
      <w:tr>
        <w:trPr>
          <w:trHeight w:hRule="atLeast"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Бюджет муниципальных округов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 </w:t>
            </w:r>
          </w:p>
          <w:p>
            <w:pPr>
              <w:spacing w:lineRule="atLeast" w:line="210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  <w:t>37516000</w:t>
            </w:r>
          </w:p>
        </w:tc>
      </w:tr>
      <w:tr>
        <w:trPr>
          <w:trHeight w:hRule="atLeast"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240" w:after="240" w:beforeAutospacing="1" w:afterAutospacing="1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383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pPr>
        <w:spacing w:before="240" w:after="240" w:beforeAutospacing="0" w:afterAutospacing="0"/>
        <w:ind w:firstLine="0" w:left="0" w:right="0"/>
        <w:jc w:val="center"/>
        <w:outlineLvl w:val="9"/>
      </w:pPr>
      <w:r>
        <w:rPr>
          <w:rFonts w:ascii="Liberation Serif" w:hAnsi="Liberation Serif" w:cs="Liberation Serif" w:eastAsia="Liberation Serif"/>
          <w:b w:val="1"/>
          <w:i w:val="0"/>
          <w:color w:val="000000"/>
          <w:sz w:val="26"/>
          <w:szCs w:val="26"/>
        </w:rPr>
        <w:t>Раздел 1 "Организационная структура субъекта бюджетной отчетности"</w:t>
      </w:r>
    </w:p>
    <w:p>
      <w:pPr>
        <w:spacing w:lineRule="auto" w:line="360" w:before="0" w:after="0" w:beforeAutospacing="0" w:afterAutospacing="0"/>
        <w:ind w:firstLine="720" w:left="0" w:right="0"/>
        <w:jc w:val="left"/>
        <w:outlineLvl w:val="9"/>
      </w:pPr>
      <w:r>
        <w:rPr>
          <w:rFonts w:ascii="Liberation Serif" w:hAnsi="Liberation Serif" w:cs="Liberation Serif" w:eastAsia="Liberation Serif"/>
          <w:b w:val="1"/>
          <w:i w:val="0"/>
          <w:color w:val="000000"/>
          <w:sz w:val="26"/>
          <w:szCs w:val="26"/>
        </w:rPr>
        <w:t>  «Сведения о количестве подведомственных участников бюджетного процесса, учреждений и государственных (муниципальных) унитарных предприятий»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На 01 июля 2024 года количество получателей бюджетных средств Куртамышского муниципального округа составило 35, из них: </w:t>
      </w:r>
    </w:p>
    <w:p>
      <w:pPr>
        <w:spacing w:lineRule="auto" w:line="360" w:before="0" w:after="0" w:beforeAutospacing="0" w:afterAutospacing="0"/>
        <w:ind w:firstLine="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-казенных учреждений - 20; бюджетных  учреждений - 6; </w:t>
      </w:r>
    </w:p>
    <w:p>
      <w:pPr>
        <w:spacing w:lineRule="auto" w:line="360" w:before="0" w:after="0" w:beforeAutospacing="0" w:afterAutospacing="0"/>
        <w:ind w:firstLine="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органы власти -9 из них: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Финансовый отдел Администрации Куртамышского муниципального округа,  Администрация Куртамышского муниципального округа, Отдел культуры Администрации Куртамышского муниципального округа, Отдел образования Администрации Куртамышского муниципального округа, </w:t>
      </w:r>
      <w:bookmarkStart w:id="0" w:name="_dx_frag_StartFragment"/>
      <w:bookmarkEnd w:id="0"/>
      <w:r>
        <w:rPr>
          <w:rFonts w:ascii="Liberation Serif" w:hAnsi="Liberation Serif" w:cs="Liberation Serif" w:eastAsia="Liberation Serif"/>
          <w:b w:val="0"/>
          <w:i w:val="0"/>
          <w:color w:val="052635"/>
          <w:sz w:val="26"/>
          <w:szCs w:val="26"/>
          <w:shd w:val="clear" w:color="auto" w:fill="FFFFFF"/>
        </w:rPr>
        <w:t> Отдел экономики Администрации Куртамышского муниципального округа</w:t>
      </w: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, Дума Куртамышского муниципального округа, Отдел по развитию городской территории Администрации Куртамышского муниципального округа, Отдел по развитию сельских территорий Администрации Куртамышского муниципального округа, Отдел по гражданской обороне и чрезвычайным ситуациям Администрации Куртамышского муниципального округа.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1"/>
          <w:i w:val="0"/>
          <w:color w:val="000000"/>
          <w:sz w:val="26"/>
          <w:szCs w:val="26"/>
        </w:rPr>
        <w:t>Раздел 3 "Анализ отчета об исполнении бюджета субъектом бюджетной отчетности"</w:t>
      </w: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   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За январь - сентябрь 2024 года поступило собственных доходов в бюджет муниципального округа 153730383,80 руб., что составляет 75,3% к годовым назначениям. 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Безвозмездных поступлений в бюджет муниципального округа от других бюджетов за январь - сентябрь 2024 года поступило 737910127,52 руб., что составляет 74,4%  к годовым назначениям. </w:t>
      </w:r>
    </w:p>
    <w:p>
      <w:pPr>
        <w:keepLines w:val="1"/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По доходам  расхождений с казначейством нет.</w:t>
      </w:r>
    </w:p>
    <w:p>
      <w:pPr>
        <w:keepLines w:val="1"/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Расходы по муниципальному округу составили  851466872,87 руб., что составляет 67,9 % к годовым назначениям. 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По расходам расхождений с казначейством нет.</w:t>
      </w:r>
    </w:p>
    <w:p>
      <w:pPr>
        <w:spacing w:lineRule="auto" w:line="360" w:before="0" w:after="0" w:beforeAutospacing="0" w:afterAutospacing="0"/>
        <w:ind w:firstLine="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 xml:space="preserve">   Остаток денежных средств бюджета Куртамышского муниципального округа  составил 98750895,50 руб., в том числе остатки целевые средства 24036421,59 руб.  </w:t>
      </w:r>
    </w:p>
    <w:p>
      <w:pPr>
        <w:spacing w:lineRule="auto" w:line="360" w:before="0" w:after="0" w:beforeAutospacing="0" w:afterAutospacing="0"/>
        <w:ind w:firstLine="0" w:left="0" w:right="0"/>
        <w:jc w:val="left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4"/>
          <w:szCs w:val="24"/>
        </w:rPr>
        <w:t> 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  <w:r>
        <w:rPr>
          <w:rFonts w:ascii="Liberation Serif" w:hAnsi="Liberation Serif" w:cs="Liberation Serif" w:eastAsia="Liberation Serif"/>
          <w:b w:val="1"/>
          <w:i w:val="0"/>
          <w:color w:val="000000"/>
          <w:sz w:val="24"/>
          <w:szCs w:val="24"/>
        </w:rPr>
        <w:t>Раздел 4 "Анализ показателей бухгалтерской отчетности субъекта бюджетной отчетности"</w:t>
      </w:r>
      <w:r>
        <w:rPr>
          <w:rFonts w:ascii="Liberation Serif" w:hAnsi="Liberation Serif" w:cs="Liberation Serif" w:eastAsia="Liberation Serif"/>
          <w:b w:val="0"/>
          <w:i w:val="0"/>
          <w:color w:val="000000"/>
          <w:sz w:val="24"/>
          <w:szCs w:val="24"/>
        </w:rPr>
        <w:t>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4"/>
          <w:szCs w:val="24"/>
        </w:rPr>
        <w:t>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1"/>
          <w:i w:val="0"/>
          <w:color w:val="000000"/>
          <w:sz w:val="25"/>
          <w:szCs w:val="25"/>
        </w:rPr>
        <w:t xml:space="preserve">Форма 0503169-БД: 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5"/>
          <w:szCs w:val="25"/>
        </w:rPr>
        <w:t>- дебиторская задолженность по счету 1.206.26.000 в сумме 17776734,14 руб. перечислен аванс по договору за оказание услуг о подключении (технологическом присоединении) объектов капитального строительства к сети газораспределения. Работа по закрытию задолженности идет, контрагент ожидает документы от субподрядчика. Здолженость будет закрыта после предоставления актов выполненых работ;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1"/>
          <w:i w:val="0"/>
          <w:color w:val="000000"/>
          <w:sz w:val="25"/>
          <w:szCs w:val="25"/>
        </w:rPr>
        <w:t xml:space="preserve">Форма 0503169-КД: 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- кредиторская задолженность по КБК 90011602020020000140 в сумме 2000,0 рублей - отплата административного штрафа поступила 2 раза, для погашения задолженности требуется заявление от физ. лица.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6"/>
          <w:szCs w:val="26"/>
        </w:rPr>
        <w:t>- кредиторская задолженность по КБК 01211611050010000140 в сумме 23483,54 ркблей - ведется работа по уточнению кредиторской задолженности в части вида и принадлежности платежа.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Liberation Serif" w:hAnsi="Liberation Serif" w:cs="Liberation Serif" w:eastAsia="Liberation Serif"/>
          <w:b w:val="0"/>
          <w:i w:val="0"/>
          <w:color w:val="000000"/>
          <w:sz w:val="24"/>
          <w:szCs w:val="24"/>
        </w:rPr>
        <w:t> </w:t>
      </w:r>
    </w:p>
    <w:p>
      <w:pPr>
        <w:spacing w:lineRule="auto" w:line="360" w:before="0" w:after="0" w:beforeAutospacing="0" w:afterAutospacing="0"/>
        <w:ind w:firstLine="720" w:left="0" w:right="180"/>
        <w:jc w:val="both"/>
        <w:outlineLvl w:val="9"/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lineRule="auto" w:line="360" w:before="0" w:after="0" w:beforeAutospacing="0" w:afterAutospacing="0"/>
        <w:ind w:firstLine="720" w:left="0" w:right="0"/>
        <w:jc w:val="both"/>
        <w:outlineLvl w:val="9"/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outlineLvl w:val="9"/>
      </w:pPr>
    </w:p>
    <w:tbl>
      <w:tblPr>
        <w:tblW w:w="10940" w:type="dxa"/>
        <w:tblInd w:w="96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</w:pPr>
          </w:p>
        </w:tc>
      </w:tr>
      <w:t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drawing>
                <wp:inline xmlns:wp="http://schemas.openxmlformats.org/drawingml/2006/wordprocessingDrawing"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 dpi="0">
                          <a:blip xmlns:r="http://schemas.openxmlformats.org/officeDocument/2006/relationships" r:embed="Relimage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u w:val="single"/>
              </w:rPr>
              <w:t>Солодкова О.А.</w:t>
            </w:r>
          </w:p>
        </w:tc>
      </w:tr>
      <w:tr>
        <w:trPr>
          <w:trHeight w:hRule="atLeast"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</w:tc>
      </w:tr>
      <w:tr>
        <w:trPr>
          <w:trHeight w:hRule="atLeast"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drawing>
                <wp:inline xmlns:wp="http://schemas.openxmlformats.org/drawingml/2006/wordprocessingDrawing"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 dpi="0">
                          <a:blip xmlns:r="http://schemas.openxmlformats.org/officeDocument/2006/relationships" r:embed="Relimage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u w:val="single"/>
              </w:rPr>
              <w:t>Паластрова Е.С.</w:t>
            </w:r>
          </w:p>
        </w:tc>
      </w:tr>
      <w:tr>
        <w:trPr>
          <w:trHeight w:hRule="atLeast"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</w:tbl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 </w:t>
      </w:r>
    </w:p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"____"   ____________ 20____г.</w:t>
      </w:r>
    </w:p>
    <w:p>
      <w:r>
        <w:rPr>
          <w:rFonts w:ascii="Times New Roman" w:hAnsi="Times New Roman" w:cs="Times New Roman" w:eastAsia="Times New Roman"/>
          <w:sz w:val="24"/>
          <w:szCs w:val="24"/>
        </w:rPr>
        <w:t>Документ подписан электронной подписью. Дата представления 17.10.2024</w:t>
        <w:br w:type="textWrapping"/>
        <w:t xml:space="preserve">Главный бухгалтер(Паластрова Екатерина Сергеевна, Сертификат: 009EEE3F0BA8EAC25AEB886804734E2764, Действителен: с 04.06.2024 по 28.08.2025),Руководитель(Солодкова Ольга Александровна, Сертификат: 00B7444D740B019BAE534A606613036FDD, Действителен: с 03.06.2024 по 27.08.2025)        </w:t>
      </w:r>
    </w:p>
    <w:sectPr>
      <w:type w:val="nextPage"/>
      <w:pgSz w:w="15840" w:h="12240" w:orient="landscap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API/21.2.5.0</Application>
  <AppVersion>21.2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Екатерина С. Паластрова</dc:creator>
  <dcterms:created xsi:type="dcterms:W3CDTF">2025-04-22T08:14:35Z</dcterms:created>
  <cp:lastModifiedBy>Екатерина С. Паластрова</cp:lastModifiedBy>
  <dcterms:modified xsi:type="dcterms:W3CDTF">2025-04-22T08:14:35Z</dcterms:modified>
  <cp:revision>2</cp:revision>
</cp:coreProperties>
</file>